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Миненко Юлия Борисовна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1028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ч.4 ст.12.15 КоАП РФ в отношении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Мустафаева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Самира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Тарел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Тарел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17 час.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управляя автомобилем марки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г/н </w:t>
      </w:r>
      <w:r>
        <w:rPr>
          <w:rStyle w:val="cat-User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двигаясь по автомобильной дороге </w:t>
      </w:r>
      <w:r>
        <w:rPr>
          <w:rFonts w:ascii="Times New Roman" w:eastAsia="Times New Roman" w:hAnsi="Times New Roman" w:cs="Times New Roman"/>
          <w:sz w:val="26"/>
          <w:szCs w:val="26"/>
        </w:rPr>
        <w:t>Р-404 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897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Ханты-Мансийском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транспортного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а, двигавшегося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попутном направлении, с выездом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</w:t>
      </w:r>
      <w:r>
        <w:rPr>
          <w:rFonts w:ascii="Times New Roman" w:eastAsia="Times New Roman" w:hAnsi="Times New Roman" w:cs="Times New Roman"/>
          <w:sz w:val="26"/>
          <w:szCs w:val="26"/>
        </w:rPr>
        <w:t>о движения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23 октября 1993 г. №1090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С.Т.о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Мустафаева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С.Т.о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РФ,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23 октября 1993 г. №1090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rFonts w:ascii="Tahoma" w:eastAsia="Tahoma" w:hAnsi="Tahoma" w:cs="Tahoma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Мустафаевым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С.Т.о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выразившегося в </w:t>
      </w:r>
      <w:r>
        <w:rPr>
          <w:rFonts w:ascii="Times New Roman" w:eastAsia="Times New Roman" w:hAnsi="Times New Roman" w:cs="Times New Roman"/>
          <w:sz w:val="26"/>
          <w:szCs w:val="26"/>
        </w:rPr>
        <w:t>выезде на полосу, предназначенную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знака 3.20 «Обгон запрещен»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>591571 от 14.04.2024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Мустафаев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С.Т.о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объяснению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не увидел знак;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Сульженко С.В. от 14.04.2024, согласно которому он 14.04.2024 управлял автомобилем марки УАЗ 236324, г/н Р425ВО 186 рег., двигаясь со стороны </w:t>
      </w:r>
      <w:r>
        <w:rPr>
          <w:rFonts w:ascii="Times New Roman" w:eastAsia="Times New Roman" w:hAnsi="Times New Roman" w:cs="Times New Roman"/>
          <w:sz w:val="26"/>
          <w:szCs w:val="26"/>
        </w:rPr>
        <w:t>г.Нефтеюганска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сторону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897 км. автодороги Р-404 Тюмень-Тобольск-Ханты-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автомобиль обогнал автомобиль марки «</w:t>
      </w:r>
      <w:r>
        <w:rPr>
          <w:rFonts w:ascii="Times New Roman" w:eastAsia="Times New Roman" w:hAnsi="Times New Roman" w:cs="Times New Roman"/>
          <w:sz w:val="26"/>
          <w:szCs w:val="26"/>
        </w:rPr>
        <w:t>Хёндй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Солярис</w:t>
      </w:r>
      <w:r>
        <w:rPr>
          <w:rFonts w:ascii="Times New Roman" w:eastAsia="Times New Roman" w:hAnsi="Times New Roman" w:cs="Times New Roman"/>
          <w:sz w:val="26"/>
          <w:szCs w:val="26"/>
        </w:rPr>
        <w:t>» с выездом на полосу для встречного движения;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</w:t>
      </w:r>
      <w:r>
        <w:rPr>
          <w:rFonts w:ascii="Times New Roman" w:eastAsia="Times New Roman" w:hAnsi="Times New Roman" w:cs="Times New Roman"/>
          <w:sz w:val="26"/>
          <w:szCs w:val="26"/>
        </w:rPr>
        <w:t>места совершения административного правонарушения, составленной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свидетеля Сульженко С.В. и </w:t>
      </w:r>
      <w:r>
        <w:rPr>
          <w:rFonts w:ascii="Times New Roman" w:eastAsia="Times New Roman" w:hAnsi="Times New Roman" w:cs="Times New Roman"/>
          <w:sz w:val="26"/>
          <w:szCs w:val="26"/>
        </w:rPr>
        <w:t>Мустафаев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С.Т.о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который со схемой ознакомился и согласился;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взвода </w:t>
      </w:r>
      <w:r>
        <w:rPr>
          <w:rFonts w:ascii="Times New Roman" w:eastAsia="Times New Roman" w:hAnsi="Times New Roman" w:cs="Times New Roman"/>
          <w:sz w:val="26"/>
          <w:szCs w:val="26"/>
        </w:rPr>
        <w:t>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ДПС ГИБДД УМВД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схемы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</w:rPr>
        <w:t>Р-404 Ханты-Мансийск-Тобольск-Тюмень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участка км </w:t>
      </w:r>
      <w:r>
        <w:rPr>
          <w:rFonts w:ascii="Times New Roman" w:eastAsia="Times New Roman" w:hAnsi="Times New Roman" w:cs="Times New Roman"/>
          <w:sz w:val="26"/>
          <w:szCs w:val="26"/>
        </w:rPr>
        <w:t>895+000-км 898</w:t>
      </w:r>
      <w:r>
        <w:rPr>
          <w:rFonts w:ascii="Times New Roman" w:eastAsia="Times New Roman" w:hAnsi="Times New Roman" w:cs="Times New Roman"/>
          <w:sz w:val="26"/>
          <w:szCs w:val="26"/>
        </w:rPr>
        <w:t>+000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Мустафаев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С.Т.о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ч.4 ст.12.15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С.Т.о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совершено правонарушение, ставящее под угрозу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 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Мустафаева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Самира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Тарел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ч.4 ст.12.15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штрафа в размере 5000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(пять тысяч)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-Мансийскому автономному округу - Югре (УМВД России по ХМАО-Югре) ОКТМО 71829000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1010390 КПП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101 001 р/с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банк получателя РКЦ 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116 011230 10001140 БИК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УИН 1881048624</w:t>
      </w:r>
      <w:r>
        <w:rPr>
          <w:rFonts w:ascii="Times New Roman" w:eastAsia="Times New Roman" w:hAnsi="Times New Roman" w:cs="Times New Roman"/>
          <w:sz w:val="26"/>
          <w:szCs w:val="26"/>
        </w:rPr>
        <w:t>09100</w:t>
      </w:r>
      <w:r>
        <w:rPr>
          <w:rFonts w:ascii="Times New Roman" w:eastAsia="Times New Roman" w:hAnsi="Times New Roman" w:cs="Times New Roman"/>
          <w:sz w:val="26"/>
          <w:szCs w:val="26"/>
        </w:rPr>
        <w:t>06334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7994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4">
    <w:name w:val="cat-UserDefined grp-3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AE10-1F13-48B6-AC63-63167BCA435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